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000000"/>
          <w:sz w:val="40"/>
          <w:szCs w:val="40"/>
        </w:rPr>
        <w:t xml:space="preserve">CBAM-Fristen-Checkliste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6B6B66"/>
          <w:sz w:val="21"/>
          <w:szCs w:val="21"/>
        </w:rPr>
        <w:t xml:space="preserve">Pflichten, Termine und die 50-Tonnen-Prüfung auf einen Blick · Stand Juni 2026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1"/>
          <w:szCs w:val="21"/>
        </w:rPr>
        <w:t xml:space="preserve">Diese Checkliste hilft Importeuren, ihre CBAM-Pflichten zu prüfen und keine Frist zu verpassen. Haken Sie ab, was auf Ihr Unternehmen zutrifft.</w:t>
      </w:r>
    </w:p>
    <w:p>
      <w:pPr>
        <w:pStyle w:val="Heading1"/>
        <w:spacing w:after="120" w:before="260"/>
      </w:pPr>
      <w:r>
        <w:rPr>
          <w:rFonts w:ascii="Arial" w:cs="Arial" w:eastAsia="Arial" w:hAnsi="Arial"/>
          <w:b/>
          <w:bCs/>
          <w:color w:val="2B5A2E"/>
          <w:sz w:val="26"/>
          <w:szCs w:val="26"/>
        </w:rPr>
        <w:t xml:space="preserve">Schritt 1: Sind Sie betroffen?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8506"/>
      </w:tblGrid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Wir importieren CBAM-Waren: Eisen und Stahl, Aluminium, Zement, Düngemittel, Strom oder Wasserstoff.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Unsere jährliche Importmenge dieser Waren liegt bei 50 Tonnen oder mehr.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Wir importieren Strom oder Wasserstoff (für diese gilt die 50-Tonnen-Befreiung nicht).</w:t>
            </w:r>
          </w:p>
        </w:tc>
      </w:tr>
    </w:tbl>
    <w:p>
      <w:pPr>
        <w:spacing w:after="6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FC40E" w:sz="1"/>
              <w:left w:val="single" w:color="AFC40E" w:sz="18"/>
              <w:bottom w:val="single" w:color="AFC40E" w:sz="1"/>
              <w:right w:val="single" w:color="AFC40E" w:sz="1"/>
            </w:tcBorders>
            <w:shd w:fill="F1F5E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 lesen Sie das Ergebnis: Trifft Punkt 2 oder Punkt 3 zu, sind Sie CBAM-pflichtig. Liegen Sie unter 50 Tonnen und importieren weder Strom noch Wasserstoff, sind Sie befreit. Die 50-Tonnen-Grenze gilt kumuliert pro Jahr.</w:t>
            </w:r>
          </w:p>
        </w:tc>
      </w:tr>
    </w:tbl>
    <w:p>
      <w:pPr>
        <w:pStyle w:val="Heading1"/>
        <w:spacing w:after="120" w:before="260"/>
      </w:pPr>
      <w:r>
        <w:rPr>
          <w:rFonts w:ascii="Arial" w:cs="Arial" w:eastAsia="Arial" w:hAnsi="Arial"/>
          <w:b/>
          <w:bCs/>
          <w:color w:val="2B5A2E"/>
          <w:sz w:val="26"/>
          <w:szCs w:val="26"/>
        </w:rPr>
        <w:t xml:space="preserve">Fristen im Überblick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00"/>
        <w:gridCol w:w="2726"/>
      </w:tblGrid>
      <w:tr>
        <w:trPr>
          <w:tblHeader/>
        </w:trPr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0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B5A2E"/>
                <w:sz w:val="20"/>
                <w:szCs w:val="20"/>
              </w:rPr>
              <w:t xml:space="preserve">Termin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0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B5A2E"/>
                <w:sz w:val="20"/>
                <w:szCs w:val="20"/>
              </w:rPr>
              <w:t xml:space="preserve">Datum</w:t>
            </w:r>
          </w:p>
        </w:tc>
      </w:tr>
      <w:tr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Zulassung als CBAM-Anmelder beantragen (DEHSt)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7523B"/>
                <w:sz w:val="21"/>
                <w:szCs w:val="21"/>
              </w:rPr>
              <w:t xml:space="preserve">bis 31. März 2026</w:t>
            </w:r>
          </w:p>
        </w:tc>
      </w:tr>
      <w:tr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Verkauf der CBAM-Zertifikate startet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7523B"/>
                <w:sz w:val="21"/>
                <w:szCs w:val="21"/>
              </w:rPr>
              <w:t xml:space="preserve">1. Februar 2027</w:t>
            </w:r>
          </w:p>
        </w:tc>
      </w:tr>
      <w:tr>
        <w:tc>
          <w:tcPr>
            <w:tcW w:type="dxa" w:w="6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Erste CBAM-Erklärung und Abgabe (für 2026)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67523B"/>
                <w:sz w:val="21"/>
                <w:szCs w:val="21"/>
              </w:rPr>
              <w:t xml:space="preserve">bis 30. September 2027</w:t>
            </w:r>
          </w:p>
        </w:tc>
      </w:tr>
    </w:tbl>
    <w:p>
      <w:pPr>
        <w:pStyle w:val="Heading1"/>
        <w:spacing w:after="120" w:before="260"/>
      </w:pPr>
      <w:r>
        <w:rPr>
          <w:rFonts w:ascii="Arial" w:cs="Arial" w:eastAsia="Arial" w:hAnsi="Arial"/>
          <w:b/>
          <w:bCs/>
          <w:color w:val="2B5A2E"/>
          <w:sz w:val="26"/>
          <w:szCs w:val="26"/>
        </w:rPr>
        <w:t xml:space="preserve">Ihre To-dos als CBAM-Anmelder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"/>
        <w:gridCol w:w="8506"/>
      </w:tblGrid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Status als zugelassener CBAM-Anmelder beantragen.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Betroffene Warengruppen und Importmengen erfassen.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Eingebettete Emissionen ermitteln und Daten bei Lieferanten anfordern.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CBAM-Zertifikate budgetieren (Preis an den EU-Emissionshandel gekoppelt).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Zertifikate kaufen und jährlich in passender Menge abgeben.</w:t>
            </w:r>
          </w:p>
        </w:tc>
      </w:tr>
      <w:tr>
        <w:tc>
          <w:tcPr>
            <w:tcW w:type="dxa" w:w="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/>
            </w:r>
          </w:p>
        </w:tc>
        <w:tc>
          <w:tcPr>
            <w:tcW w:type="dxa" w:w="8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Importe als Teil von Scope 3 in die CO2-Bilanz aufnehmen.</w:t>
            </w:r>
          </w:p>
        </w:tc>
      </w:tr>
    </w:tbl>
    <w:p>
      <w:pPr>
        <w:spacing w:before="240"/>
      </w:pPr>
      <w:r>
        <w:rPr>
          <w:rFonts w:ascii="Arial" w:cs="Arial" w:eastAsia="Arial" w:hAnsi="Arial"/>
          <w:i/>
          <w:iCs/>
          <w:color w:val="6B6B66"/>
          <w:sz w:val="17"/>
          <w:szCs w:val="17"/>
        </w:rPr>
        <w:t xml:space="preserve">Diese Checkliste dient der Orientierung und ersetzt keine Rechtsberatung. Maßgeblich sind die geltenden EU-Verordnungen und die Vorgaben der DEHSt.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6B6B66"/>
        <w:sz w:val="16"/>
        <w:szCs w:val="16"/>
      </w:rPr>
      <w:t xml:space="preserve">Bereitgestellt von PLANT-MY-TREE · plant-my-tree.de</w:t>
    </w:r>
    <w:r>
      <w:rPr>
        <w:rFonts w:ascii="Arial" w:cs="Arial" w:eastAsia="Arial" w:hAnsi="Arial"/>
        <w:color w:val="6B6B66"/>
        <w:sz w:val="16"/>
        <w:szCs w:val="16"/>
      </w:rPr>
      <w:t xml:space="preserve">	Seite </w:t>
    </w:r>
    <w:r>
      <w:rPr>
        <w:rFonts w:ascii="Arial" w:cs="Arial" w:eastAsia="Arial" w:hAnsi="Arial"/>
        <w:color w:val="6B6B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2B5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2026-06-26T08:28:44.595Z</dcterms:created>
  <dcterms:modified xsi:type="dcterms:W3CDTF">2026-06-26T08:28:44.597Z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